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A7CE8" w:rsidRDefault="00AC23CC">
      <w:pPr>
        <w:rPr>
          <w:rFonts w:ascii="Tahoma" w:hAnsi="Tahoma" w:cs="Tahoma"/>
          <w:sz w:val="18"/>
          <w:szCs w:val="18"/>
        </w:rPr>
      </w:pPr>
      <w:r w:rsidRPr="002A7CE8">
        <w:rPr>
          <w:rFonts w:ascii="Tahoma" w:hAnsi="Tahoma" w:cs="Tahoma"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A7CE8" w:rsidRDefault="00424A5A">
      <w:pPr>
        <w:rPr>
          <w:rFonts w:ascii="Tahoma" w:hAnsi="Tahoma" w:cs="Tahoma"/>
          <w:sz w:val="18"/>
          <w:szCs w:val="18"/>
        </w:rPr>
      </w:pPr>
    </w:p>
    <w:p w:rsidR="00424A5A" w:rsidRPr="002A7CE8" w:rsidRDefault="00424A5A" w:rsidP="00424A5A">
      <w:pPr>
        <w:rPr>
          <w:rFonts w:ascii="Tahoma" w:hAnsi="Tahoma" w:cs="Tahoma"/>
          <w:sz w:val="18"/>
          <w:szCs w:val="18"/>
        </w:rPr>
      </w:pPr>
    </w:p>
    <w:p w:rsidR="00424A5A" w:rsidRPr="002A7CE8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A7CE8">
        <w:tc>
          <w:tcPr>
            <w:tcW w:w="1080" w:type="dxa"/>
            <w:vAlign w:val="center"/>
          </w:tcPr>
          <w:p w:rsidR="00424A5A" w:rsidRPr="002A7CE8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A7CE8" w:rsidRDefault="00AC23CC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color w:val="0000FF"/>
                <w:sz w:val="18"/>
                <w:szCs w:val="18"/>
              </w:rPr>
              <w:t>43001-483/2020</w:t>
            </w:r>
            <w:r w:rsidR="002A7CE8" w:rsidRPr="002A7CE8">
              <w:rPr>
                <w:rFonts w:ascii="Tahoma" w:hAnsi="Tahoma" w:cs="Tahoma"/>
                <w:color w:val="0000FF"/>
                <w:sz w:val="18"/>
                <w:szCs w:val="18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2A7CE8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2A7CE8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A7CE8" w:rsidRDefault="00AC23CC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color w:val="0000FF"/>
                <w:sz w:val="18"/>
                <w:szCs w:val="18"/>
              </w:rPr>
              <w:t>A-11/21 G</w:t>
            </w:r>
            <w:r w:rsidR="00424A5A" w:rsidRPr="002A7CE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2A7CE8">
        <w:tc>
          <w:tcPr>
            <w:tcW w:w="1080" w:type="dxa"/>
            <w:vAlign w:val="center"/>
          </w:tcPr>
          <w:p w:rsidR="00424A5A" w:rsidRPr="002A7CE8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A7CE8" w:rsidRDefault="00AC23CC" w:rsidP="002A7CE8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  <w:r w:rsidR="002A7CE8" w:rsidRPr="002A7CE8">
              <w:rPr>
                <w:rFonts w:ascii="Tahoma" w:hAnsi="Tahoma" w:cs="Tahoma"/>
                <w:color w:val="0000FF"/>
                <w:sz w:val="18"/>
                <w:szCs w:val="18"/>
              </w:rPr>
              <w:t>3</w:t>
            </w:r>
            <w:r w:rsidRPr="002A7CE8">
              <w:rPr>
                <w:rFonts w:ascii="Tahoma" w:hAnsi="Tahoma" w:cs="Tahoma"/>
                <w:color w:val="0000FF"/>
                <w:sz w:val="18"/>
                <w:szCs w:val="18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2A7CE8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2A7CE8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A7CE8" w:rsidRDefault="00AC23CC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color w:val="0000FF"/>
                <w:sz w:val="18"/>
                <w:szCs w:val="18"/>
              </w:rPr>
              <w:t>2431-20-001806/0</w:t>
            </w:r>
          </w:p>
        </w:tc>
      </w:tr>
    </w:tbl>
    <w:p w:rsidR="00424A5A" w:rsidRPr="002A7CE8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:rsidR="00424A5A" w:rsidRPr="002A7CE8" w:rsidRDefault="00424A5A">
      <w:pPr>
        <w:rPr>
          <w:rFonts w:ascii="Tahoma" w:hAnsi="Tahoma" w:cs="Tahoma"/>
          <w:sz w:val="18"/>
          <w:szCs w:val="18"/>
        </w:rPr>
      </w:pPr>
    </w:p>
    <w:p w:rsidR="00556816" w:rsidRPr="002A7CE8" w:rsidRDefault="00556816">
      <w:pPr>
        <w:rPr>
          <w:rFonts w:ascii="Tahoma" w:hAnsi="Tahoma" w:cs="Tahoma"/>
          <w:sz w:val="18"/>
          <w:szCs w:val="18"/>
        </w:rPr>
      </w:pPr>
    </w:p>
    <w:p w:rsidR="00556816" w:rsidRPr="002A7CE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2A7CE8">
        <w:rPr>
          <w:rFonts w:ascii="Tahoma" w:hAnsi="Tahoma" w:cs="Tahoma"/>
          <w:b/>
          <w:spacing w:val="20"/>
          <w:sz w:val="18"/>
          <w:szCs w:val="18"/>
        </w:rPr>
        <w:t xml:space="preserve">SPREMEMBA RAZPISNE DOKUMENTACIJE </w:t>
      </w:r>
    </w:p>
    <w:p w:rsidR="00556816" w:rsidRPr="002A7CE8" w:rsidRDefault="00556816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2A7CE8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:rsidR="00556816" w:rsidRPr="002A7CE8" w:rsidRDefault="00556816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A7CE8">
        <w:tc>
          <w:tcPr>
            <w:tcW w:w="9288" w:type="dxa"/>
          </w:tcPr>
          <w:p w:rsidR="00556816" w:rsidRPr="002A7CE8" w:rsidRDefault="00AC23CC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7CE8">
              <w:rPr>
                <w:rFonts w:ascii="Tahoma" w:hAnsi="Tahoma" w:cs="Tahoma"/>
                <w:b/>
                <w:sz w:val="18"/>
                <w:szCs w:val="18"/>
              </w:rPr>
              <w:t>Nadomestna gradnja mostu (PT0169) čez Grajeno pri Ptuju na cesti R3-710/1292 v km  22,355</w:t>
            </w:r>
          </w:p>
        </w:tc>
      </w:tr>
    </w:tbl>
    <w:p w:rsidR="00556816" w:rsidRPr="002A7CE8" w:rsidRDefault="00556816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:rsidR="004B34B5" w:rsidRPr="002A7CE8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0646A9" w:rsidRPr="002A7CE8" w:rsidRDefault="000646A9" w:rsidP="000646A9">
      <w:pPr>
        <w:pStyle w:val="EndnoteText"/>
        <w:jc w:val="both"/>
        <w:rPr>
          <w:rFonts w:ascii="Tahoma" w:hAnsi="Tahoma" w:cs="Tahoma"/>
          <w:sz w:val="18"/>
          <w:szCs w:val="18"/>
        </w:rPr>
      </w:pPr>
      <w:r w:rsidRPr="002A7CE8">
        <w:rPr>
          <w:rFonts w:ascii="Tahoma" w:hAnsi="Tahoma" w:cs="Tahoma"/>
          <w:sz w:val="18"/>
          <w:szCs w:val="18"/>
        </w:rPr>
        <w:t xml:space="preserve">Obvestilo o spremembi razpisne dokumentacije je objavljeno na "Portalu javnih naročil" in na naročnikovi spletni strani. </w:t>
      </w:r>
      <w:r w:rsidR="002A7CE8" w:rsidRPr="002A7CE8">
        <w:rPr>
          <w:rFonts w:ascii="Tahoma" w:hAnsi="Tahoma" w:cs="Tahoma"/>
          <w:sz w:val="18"/>
          <w:szCs w:val="18"/>
        </w:rPr>
        <w:t xml:space="preserve">Na </w:t>
      </w:r>
      <w:r w:rsidRPr="002A7CE8">
        <w:rPr>
          <w:rFonts w:ascii="Tahoma" w:hAnsi="Tahoma" w:cs="Tahoma"/>
          <w:sz w:val="18"/>
          <w:szCs w:val="18"/>
        </w:rPr>
        <w:t>naročnikovi spletni strani</w:t>
      </w:r>
      <w:r w:rsidR="002A7CE8" w:rsidRPr="002A7CE8">
        <w:rPr>
          <w:rFonts w:ascii="Tahoma" w:hAnsi="Tahoma" w:cs="Tahoma"/>
          <w:sz w:val="18"/>
          <w:szCs w:val="18"/>
        </w:rPr>
        <w:t xml:space="preserve"> je</w:t>
      </w:r>
      <w:r w:rsidRPr="002A7CE8">
        <w:rPr>
          <w:rFonts w:ascii="Tahoma" w:hAnsi="Tahoma" w:cs="Tahoma"/>
          <w:sz w:val="18"/>
          <w:szCs w:val="18"/>
        </w:rPr>
        <w:t xml:space="preserve"> priložen čistopis spremenjenega dokumenta. </w:t>
      </w:r>
    </w:p>
    <w:p w:rsidR="004B34B5" w:rsidRPr="002A7CE8" w:rsidRDefault="004B34B5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:rsidR="00556816" w:rsidRPr="002A7CE8" w:rsidRDefault="004B34B5" w:rsidP="000646A9">
      <w:pPr>
        <w:pStyle w:val="EndnoteText"/>
        <w:spacing w:after="60"/>
        <w:jc w:val="both"/>
        <w:rPr>
          <w:rFonts w:ascii="Tahoma" w:hAnsi="Tahoma" w:cs="Tahoma"/>
          <w:sz w:val="18"/>
          <w:szCs w:val="18"/>
        </w:rPr>
      </w:pPr>
      <w:r w:rsidRPr="002A7CE8">
        <w:rPr>
          <w:rFonts w:ascii="Tahoma" w:hAnsi="Tahoma" w:cs="Tahoma"/>
          <w:sz w:val="18"/>
          <w:szCs w:val="18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A7CE8">
        <w:trPr>
          <w:trHeight w:val="3511"/>
        </w:trPr>
        <w:tc>
          <w:tcPr>
            <w:tcW w:w="9287" w:type="dxa"/>
          </w:tcPr>
          <w:p w:rsidR="003E3015" w:rsidRPr="002A7CE8" w:rsidRDefault="003E301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2A7CE8">
              <w:rPr>
                <w:rFonts w:ascii="Tahoma" w:hAnsi="Tahoma" w:cs="Tahoma"/>
                <w:b/>
                <w:sz w:val="18"/>
                <w:szCs w:val="18"/>
              </w:rPr>
              <w:t xml:space="preserve">Glede na predmet razpisa postavljamo jasnejšo dikcijo pri izpolnjevanju referenčnih pogojev za </w:t>
            </w:r>
            <w:r w:rsidR="00786589" w:rsidRPr="002A7CE8">
              <w:rPr>
                <w:rFonts w:ascii="Tahoma" w:hAnsi="Tahoma" w:cs="Tahoma"/>
                <w:b/>
                <w:sz w:val="18"/>
                <w:szCs w:val="18"/>
              </w:rPr>
              <w:t xml:space="preserve">vodjo del in </w:t>
            </w:r>
            <w:r w:rsidRPr="002A7CE8">
              <w:rPr>
                <w:rFonts w:ascii="Tahoma" w:hAnsi="Tahoma" w:cs="Tahoma"/>
                <w:b/>
                <w:sz w:val="18"/>
                <w:szCs w:val="18"/>
              </w:rPr>
              <w:t xml:space="preserve">ponudnika oziroma </w:t>
            </w:r>
            <w:r w:rsidR="00676BC3" w:rsidRPr="002A7CE8">
              <w:rPr>
                <w:rFonts w:ascii="Tahoma" w:hAnsi="Tahoma" w:cs="Tahoma"/>
                <w:b/>
                <w:sz w:val="18"/>
                <w:szCs w:val="18"/>
              </w:rPr>
              <w:t>pri skupni ponudbi kateregakoli partnerja</w:t>
            </w:r>
            <w:r w:rsidRPr="002A7CE8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</w:p>
          <w:p w:rsidR="00786589" w:rsidRPr="002A7CE8" w:rsidRDefault="0078658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E3015" w:rsidRPr="002A7CE8" w:rsidRDefault="0078658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2A7CE8">
              <w:rPr>
                <w:rFonts w:ascii="Tahoma" w:hAnsi="Tahoma" w:cs="Tahoma"/>
                <w:b/>
                <w:sz w:val="18"/>
                <w:szCs w:val="18"/>
              </w:rPr>
              <w:t xml:space="preserve">Navodila ponudnikom se spremenijo v  6. alineji točke 3.2.3.3. in v točki </w:t>
            </w:r>
            <w:r w:rsidR="003E3015" w:rsidRPr="002A7CE8">
              <w:rPr>
                <w:rFonts w:ascii="Tahoma" w:hAnsi="Tahoma" w:cs="Tahoma"/>
                <w:b/>
                <w:sz w:val="18"/>
                <w:szCs w:val="18"/>
              </w:rPr>
              <w:t xml:space="preserve"> a) 3.2.3.</w:t>
            </w:r>
            <w:r w:rsidRPr="002A7CE8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3E3015" w:rsidRPr="002A7CE8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786589" w:rsidRPr="002A7CE8" w:rsidRDefault="0078658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86589" w:rsidRPr="002A7CE8" w:rsidRDefault="00786589" w:rsidP="00786589">
            <w:pPr>
              <w:pStyle w:val="BodyText2"/>
              <w:numPr>
                <w:ilvl w:val="3"/>
                <w:numId w:val="18"/>
              </w:numPr>
              <w:tabs>
                <w:tab w:val="left" w:pos="1418"/>
              </w:tabs>
              <w:spacing w:before="60"/>
              <w:rPr>
                <w:rFonts w:ascii="Tahoma" w:hAnsi="Tahoma" w:cs="Tahoma"/>
                <w:sz w:val="18"/>
                <w:szCs w:val="18"/>
                <w:lang w:eastAsia="sl-SI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Zagotovljen mora biti vodja del, ki izpolnjuje naslednje zahteve:</w:t>
            </w:r>
          </w:p>
          <w:p w:rsidR="00786589" w:rsidRPr="002A7CE8" w:rsidRDefault="00786589" w:rsidP="00786589">
            <w:pPr>
              <w:pStyle w:val="BodyText2"/>
              <w:numPr>
                <w:ilvl w:val="0"/>
                <w:numId w:val="20"/>
              </w:numPr>
              <w:tabs>
                <w:tab w:val="left" w:pos="-1560"/>
              </w:tabs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 xml:space="preserve"> ima strokovno izobrazbo s področja gradbeništva</w:t>
            </w:r>
          </w:p>
          <w:p w:rsidR="00786589" w:rsidRPr="002A7CE8" w:rsidRDefault="00786589" w:rsidP="00786589">
            <w:pPr>
              <w:pStyle w:val="BodyText2"/>
              <w:numPr>
                <w:ilvl w:val="0"/>
                <w:numId w:val="20"/>
              </w:numPr>
              <w:tabs>
                <w:tab w:val="left" w:pos="-1560"/>
              </w:tabs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 xml:space="preserve"> vpisan je v imenik pri Inženirski zbornici Slovenije (IZS) kot pooblaščeni inženir ali kot </w:t>
            </w:r>
            <w:proofErr w:type="spellStart"/>
            <w:r w:rsidRPr="002A7CE8">
              <w:rPr>
                <w:rFonts w:ascii="Tahoma" w:hAnsi="Tahoma" w:cs="Tahoma"/>
                <w:sz w:val="18"/>
                <w:szCs w:val="18"/>
              </w:rPr>
              <w:t>Vz</w:t>
            </w:r>
            <w:proofErr w:type="spellEnd"/>
            <w:r w:rsidRPr="002A7CE8">
              <w:rPr>
                <w:rFonts w:ascii="Tahoma" w:hAnsi="Tahoma" w:cs="Tahoma"/>
                <w:sz w:val="18"/>
                <w:szCs w:val="18"/>
              </w:rPr>
              <w:t xml:space="preserve"> vodja del, s pooblastilom za vodenje celotne gradnje ali pretežnega dela gradnje zahtevnega in manj zahtevnega objekta</w:t>
            </w:r>
          </w:p>
          <w:p w:rsidR="00786589" w:rsidRPr="002A7CE8" w:rsidRDefault="00786589" w:rsidP="00786589">
            <w:pPr>
              <w:pStyle w:val="BodyText2"/>
              <w:numPr>
                <w:ilvl w:val="0"/>
                <w:numId w:val="20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 xml:space="preserve"> zaposlen je pri gospodarskemu subjektu (ponudnik, partner, podizvajalec), ki nastopa v ponudbi* </w:t>
            </w:r>
          </w:p>
          <w:p w:rsidR="00786589" w:rsidRPr="002A7CE8" w:rsidRDefault="00786589" w:rsidP="00786589">
            <w:pPr>
              <w:pStyle w:val="BodyText2"/>
              <w:numPr>
                <w:ilvl w:val="0"/>
                <w:numId w:val="20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aktivno govori slovenski jezik</w:t>
            </w:r>
          </w:p>
          <w:p w:rsidR="00786589" w:rsidRPr="002A7CE8" w:rsidRDefault="00786589" w:rsidP="00786589">
            <w:pPr>
              <w:pStyle w:val="BodyText2"/>
              <w:numPr>
                <w:ilvl w:val="0"/>
                <w:numId w:val="20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 xml:space="preserve">v zadnjih desetih letih pred rokom za oddajo ponudb je kot odgovorni vodja del, posameznih del ali gradbišča (nazivi po ZGO-1) oz. vodja gradnje ali vodja del (nazivi po GZ) na državni ali lokalni cesti vsaj enkrat vodil: </w:t>
            </w:r>
          </w:p>
          <w:p w:rsidR="00786589" w:rsidRPr="002A7CE8" w:rsidRDefault="00786589" w:rsidP="00786589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left" w:pos="1843"/>
              </w:tabs>
              <w:ind w:left="1843" w:hanging="283"/>
              <w:rPr>
                <w:rFonts w:ascii="Tahoma" w:hAnsi="Tahoma" w:cs="Tahoma"/>
                <w:b/>
                <w:color w:val="2E74B5"/>
                <w:sz w:val="18"/>
                <w:szCs w:val="18"/>
              </w:rPr>
            </w:pPr>
            <w:r w:rsidRPr="002A7CE8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novogradnjo ali rekonstrukcijo objekta v vrednosti vsaj 500.000 EUR (brez DDV)</w:t>
            </w:r>
          </w:p>
          <w:p w:rsidR="00786589" w:rsidRPr="002A7CE8" w:rsidRDefault="00786589" w:rsidP="00786589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left" w:pos="1843"/>
              </w:tabs>
              <w:ind w:left="1843" w:hanging="283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novogradnjo premostitvenega objekta svetle dolžine med krajnimi podporami   vsaj 5 m</w:t>
            </w:r>
          </w:p>
          <w:p w:rsidR="00786589" w:rsidRPr="002A7CE8" w:rsidRDefault="00786589" w:rsidP="00786589">
            <w:pPr>
              <w:pStyle w:val="BodyText2"/>
              <w:numPr>
                <w:ilvl w:val="0"/>
                <w:numId w:val="21"/>
              </w:numPr>
              <w:tabs>
                <w:tab w:val="left" w:pos="-1560"/>
                <w:tab w:val="left" w:pos="1843"/>
              </w:tabs>
              <w:ind w:left="1843" w:hanging="283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novogradnjo ali rekonstrukcijo ceste v dolžini vsaj 90 m</w:t>
            </w:r>
          </w:p>
          <w:p w:rsidR="00786589" w:rsidRPr="002A7CE8" w:rsidRDefault="00786589" w:rsidP="00786589">
            <w:pPr>
              <w:pStyle w:val="BodyText2"/>
              <w:keepNext/>
              <w:numPr>
                <w:ilvl w:val="0"/>
                <w:numId w:val="21"/>
              </w:numPr>
              <w:tabs>
                <w:tab w:val="left" w:pos="1560"/>
              </w:tabs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 xml:space="preserve">montažo in demontažo začasnega jeklenega mostu in pripadajočih AB temeljev na vzporedni obvozni cesti, razpona vsaj 15m. </w:t>
            </w:r>
          </w:p>
          <w:p w:rsidR="00786589" w:rsidRPr="002A7CE8" w:rsidRDefault="00786589" w:rsidP="00786589">
            <w:pPr>
              <w:pStyle w:val="BodyText2"/>
              <w:keepNext/>
              <w:spacing w:before="60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dokazilo:</w:t>
            </w:r>
            <w:r w:rsidRPr="002A7CE8">
              <w:rPr>
                <w:rFonts w:ascii="Tahoma" w:hAnsi="Tahoma" w:cs="Tahoma"/>
                <w:sz w:val="18"/>
                <w:szCs w:val="18"/>
              </w:rPr>
              <w:tab/>
              <w:t>Podatki o kadrovskih zmogljivostih (</w:t>
            </w:r>
            <w:r w:rsidRPr="002A7CE8">
              <w:rPr>
                <w:rFonts w:ascii="Tahoma" w:hAnsi="Tahoma" w:cs="Tahoma"/>
                <w:i/>
                <w:sz w:val="18"/>
                <w:szCs w:val="18"/>
              </w:rPr>
              <w:t>funkcija: vodja del</w:t>
            </w:r>
            <w:r w:rsidRPr="002A7CE8">
              <w:rPr>
                <w:rFonts w:ascii="Tahoma" w:hAnsi="Tahoma" w:cs="Tahoma"/>
                <w:sz w:val="18"/>
                <w:szCs w:val="18"/>
              </w:rPr>
              <w:t>), navedeni skladno s predlogo in ESPD ponudnika oziroma sodelujočega gospodarskega subjekta, pri katerem je oseba zaposlena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 xml:space="preserve">                  Potrdilo o znanju slovenskega jezika (v primeru, da oseba ni državljan Republike Slovenije ali formalne izobrazbe v Republiki Sloveniji)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ind w:left="2268" w:hanging="992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  <w:p w:rsidR="00786589" w:rsidRPr="002A7CE8" w:rsidRDefault="00786589" w:rsidP="00786589">
            <w:pPr>
              <w:pStyle w:val="BodyText2"/>
              <w:tabs>
                <w:tab w:val="left" w:pos="-1560"/>
              </w:tabs>
              <w:spacing w:before="120"/>
              <w:ind w:left="2268" w:hanging="992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opombe</w:t>
            </w:r>
            <w:r w:rsidRPr="002A7CE8">
              <w:rPr>
                <w:rFonts w:ascii="Tahoma" w:hAnsi="Tahoma" w:cs="Tahoma"/>
                <w:i/>
                <w:sz w:val="18"/>
                <w:szCs w:val="18"/>
              </w:rPr>
              <w:t>:</w:t>
            </w:r>
            <w:r w:rsidRPr="002A7CE8">
              <w:rPr>
                <w:rFonts w:ascii="Tahoma" w:hAnsi="Tahoma" w:cs="Tahoma"/>
                <w:i/>
                <w:sz w:val="18"/>
                <w:szCs w:val="18"/>
              </w:rPr>
              <w:tab/>
              <w:t xml:space="preserve">* v kolikor pooblaščeni inženir opravlja poklicne naloge na način, določen v tretji alineji tretjega odstavka 5. člena ZAID, mora družba, za katero opravlja poklicne naloge, nastopati v ponudbi (kot ponudnik, partner, podizvajalec)                </w:t>
            </w:r>
          </w:p>
          <w:p w:rsidR="00786589" w:rsidRPr="002A7CE8" w:rsidRDefault="00786589" w:rsidP="00786589">
            <w:pPr>
              <w:pStyle w:val="BodyText2"/>
              <w:tabs>
                <w:tab w:val="left" w:pos="-1560"/>
              </w:tabs>
              <w:spacing w:before="120"/>
              <w:ind w:left="2268" w:hanging="992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                 Zahtevane reference, ločene po alinejah, lahko izhajajo iz enega ali več različnih poslov (gradenj), referenca iz vsake posamezne alineje pa mora v celoti izhajati iz enega posla.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>Za referenčni posel se šteje posel, ki je bil prevzet s strani naročnika v                  obdobju največ desetih let pred rokom za oddajo ponudb.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>Za vodjo del, ki ob oddaji ponudbe še ni vpisan v imenik IZS, mora ponudnik podati izjavo, da izpolnjuje vse predpisane pogoje za vpis in da bo v primeru, če bo na razpisu izbran, pred podpisom pogodbe predložil dokazilo o tem vpisu.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lastRenderedPageBreak/>
              <w:t xml:space="preserve">Šteje se, da oseba aktivno govori slovenski jezik, če je državljan Republike Slovenije ali je zahtevano formalno izobrazbo pridobil v Republiki Sloveniji. V nasprotnem primeru mora ponudbi priložiti dokazilo, izdano s strani ustrezno pooblaščene institucije o znanju slovenskega jezika na nivoju B2, v skladu s </w:t>
            </w:r>
            <w:proofErr w:type="spellStart"/>
            <w:r w:rsidRPr="002A7CE8">
              <w:rPr>
                <w:rFonts w:ascii="Tahoma" w:hAnsi="Tahoma" w:cs="Tahoma"/>
                <w:i/>
                <w:sz w:val="18"/>
                <w:szCs w:val="18"/>
              </w:rPr>
              <w:t>Common</w:t>
            </w:r>
            <w:proofErr w:type="spellEnd"/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A7CE8">
              <w:rPr>
                <w:rFonts w:ascii="Tahoma" w:hAnsi="Tahoma" w:cs="Tahoma"/>
                <w:i/>
                <w:sz w:val="18"/>
                <w:szCs w:val="18"/>
              </w:rPr>
              <w:t>European</w:t>
            </w:r>
            <w:proofErr w:type="spellEnd"/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A7CE8">
              <w:rPr>
                <w:rFonts w:ascii="Tahoma" w:hAnsi="Tahoma" w:cs="Tahoma"/>
                <w:i/>
                <w:sz w:val="18"/>
                <w:szCs w:val="18"/>
              </w:rPr>
              <w:t>Framework</w:t>
            </w:r>
            <w:proofErr w:type="spellEnd"/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A7CE8">
              <w:rPr>
                <w:rFonts w:ascii="Tahoma" w:hAnsi="Tahoma" w:cs="Tahoma"/>
                <w:i/>
                <w:sz w:val="18"/>
                <w:szCs w:val="18"/>
              </w:rPr>
              <w:t>of</w:t>
            </w:r>
            <w:proofErr w:type="spellEnd"/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A7CE8">
              <w:rPr>
                <w:rFonts w:ascii="Tahoma" w:hAnsi="Tahoma" w:cs="Tahoma"/>
                <w:i/>
                <w:sz w:val="18"/>
                <w:szCs w:val="18"/>
              </w:rPr>
              <w:t>ReferEnce</w:t>
            </w:r>
            <w:proofErr w:type="spellEnd"/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A7CE8">
              <w:rPr>
                <w:rFonts w:ascii="Tahoma" w:hAnsi="Tahoma" w:cs="Tahoma"/>
                <w:i/>
                <w:sz w:val="18"/>
                <w:szCs w:val="18"/>
              </w:rPr>
              <w:t>for</w:t>
            </w:r>
            <w:proofErr w:type="spellEnd"/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2A7CE8">
              <w:rPr>
                <w:rFonts w:ascii="Tahoma" w:hAnsi="Tahoma" w:cs="Tahoma"/>
                <w:i/>
                <w:sz w:val="18"/>
                <w:szCs w:val="18"/>
              </w:rPr>
              <w:t>Languages</w:t>
            </w:r>
            <w:proofErr w:type="spellEnd"/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– CEFRL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>Naročnik si pridržuje pravico, da navedbe preveri ter zahteva dokazila (na primer: pogodbo z investitorjem ali delodajalcem, končni obračun, potrdilo o izplačilu, izvajalsko zasedbo, ...) o uspešni izvedbi referenčnega posla.</w:t>
            </w:r>
          </w:p>
          <w:p w:rsidR="00786589" w:rsidRPr="002A7CE8" w:rsidRDefault="00786589" w:rsidP="00786589">
            <w:pPr>
              <w:pStyle w:val="BodyText2"/>
              <w:tabs>
                <w:tab w:val="left" w:pos="-1560"/>
              </w:tabs>
              <w:ind w:left="1495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</w:p>
          <w:p w:rsidR="00786589" w:rsidRPr="002A7CE8" w:rsidRDefault="00786589" w:rsidP="00786589">
            <w:pPr>
              <w:pStyle w:val="BodyText2"/>
              <w:keepNext/>
              <w:numPr>
                <w:ilvl w:val="3"/>
                <w:numId w:val="18"/>
              </w:numPr>
              <w:tabs>
                <w:tab w:val="left" w:pos="1276"/>
              </w:tabs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Ponudnik oziroma sodelujoči gospodarski subjekti mora izkazati naslednje uspešno izvedene referenčne posle na državni ali lokalni cesti iz zadnjih petih let pred rokom za oddajo ponudb:</w:t>
            </w:r>
          </w:p>
          <w:p w:rsidR="00786589" w:rsidRPr="002A7CE8" w:rsidRDefault="00786589" w:rsidP="00786589">
            <w:pPr>
              <w:numPr>
                <w:ilvl w:val="0"/>
                <w:numId w:val="19"/>
              </w:numPr>
              <w:rPr>
                <w:rFonts w:ascii="Tahoma" w:hAnsi="Tahoma" w:cs="Tahoma"/>
                <w:b/>
                <w:color w:val="2E74B5"/>
                <w:sz w:val="18"/>
                <w:szCs w:val="18"/>
              </w:rPr>
            </w:pPr>
            <w:r w:rsidRPr="002A7CE8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novogradnjo ali rekonstrukcijo objekta v vrednosti vsaj 500.000 EUR (brez DDV)</w:t>
            </w:r>
          </w:p>
          <w:p w:rsidR="00786589" w:rsidRPr="002A7CE8" w:rsidRDefault="00786589" w:rsidP="00786589">
            <w:pPr>
              <w:pStyle w:val="BodyText2"/>
              <w:keepNext/>
              <w:numPr>
                <w:ilvl w:val="0"/>
                <w:numId w:val="19"/>
              </w:numPr>
              <w:tabs>
                <w:tab w:val="num" w:pos="-2552"/>
                <w:tab w:val="left" w:pos="1560"/>
              </w:tabs>
              <w:spacing w:before="60"/>
              <w:ind w:left="1560" w:hanging="284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novogradnjo ali rekonstrukcijo premostitvenega objekta razdalje med krajnimi podporami vsaj 5 m</w:t>
            </w:r>
          </w:p>
          <w:p w:rsidR="00786589" w:rsidRPr="002A7CE8" w:rsidRDefault="00786589" w:rsidP="00786589">
            <w:pPr>
              <w:pStyle w:val="BodyText2"/>
              <w:keepNext/>
              <w:numPr>
                <w:ilvl w:val="0"/>
                <w:numId w:val="19"/>
              </w:numPr>
              <w:tabs>
                <w:tab w:val="left" w:pos="1560"/>
              </w:tabs>
              <w:spacing w:before="60"/>
              <w:ind w:left="1560" w:hanging="284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novogradnjo ali rekonstrukcijo ceste v dolžini vsaj 90 m.</w:t>
            </w:r>
          </w:p>
          <w:p w:rsidR="00786589" w:rsidRPr="002A7CE8" w:rsidRDefault="00786589" w:rsidP="00786589">
            <w:pPr>
              <w:pStyle w:val="BodyText2"/>
              <w:keepNext/>
              <w:numPr>
                <w:ilvl w:val="0"/>
                <w:numId w:val="19"/>
              </w:numPr>
              <w:tabs>
                <w:tab w:val="left" w:pos="1560"/>
              </w:tabs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montažo in demontažo začasnega jeklenega mostu in pripadajočih AB temeljev na</w:t>
            </w:r>
          </w:p>
          <w:p w:rsidR="00786589" w:rsidRPr="002A7CE8" w:rsidRDefault="00786589" w:rsidP="00786589">
            <w:pPr>
              <w:pStyle w:val="BodyText2"/>
              <w:keepNext/>
              <w:tabs>
                <w:tab w:val="left" w:pos="1560"/>
              </w:tabs>
              <w:ind w:left="1276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 xml:space="preserve">     vzporedni obvozni cesti, razpona vsaj 15m. 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ascii="Tahoma" w:hAnsi="Tahoma" w:cs="Tahoma"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dokazilo:</w:t>
            </w:r>
            <w:r w:rsidRPr="002A7CE8">
              <w:rPr>
                <w:rFonts w:ascii="Tahoma" w:hAnsi="Tahoma" w:cs="Tahoma"/>
                <w:sz w:val="18"/>
                <w:szCs w:val="18"/>
              </w:rPr>
              <w:tab/>
              <w:t>Referenca gospodarskega subjekta, vsebinsko skladna s predlogo in ESPD ponudnika oziroma sodelujočega gospodarskega subjekta.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spacing w:before="60"/>
              <w:ind w:left="2268" w:hanging="992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sz w:val="18"/>
                <w:szCs w:val="18"/>
              </w:rPr>
              <w:t>opombe:</w:t>
            </w:r>
            <w:r w:rsidRPr="002A7CE8">
              <w:rPr>
                <w:rFonts w:ascii="Tahoma" w:hAnsi="Tahoma" w:cs="Tahoma"/>
                <w:sz w:val="18"/>
                <w:szCs w:val="18"/>
              </w:rPr>
              <w:tab/>
            </w:r>
            <w:r w:rsidRPr="002A7CE8">
              <w:rPr>
                <w:rFonts w:ascii="Tahoma" w:hAnsi="Tahoma" w:cs="Tahoma"/>
                <w:i/>
                <w:sz w:val="18"/>
                <w:szCs w:val="18"/>
              </w:rPr>
              <w:t>Zahtevane reference, ločene po točkah (a, b, c in d ) lahko izhajajo iz enega ali iz več različnih poslov (gradenj) gospodarskega subjekta, referenca iz vsake posamezne točke pa mora v celoti izhajati iz enega posla.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ind w:left="2268" w:hanging="992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                 Referenčni posel iz točke a, ki ga je izvedel neposredno sam ali s sodelovanjem drugih gospodarskih subjektov (podizvajalcev) mora izkazati ponudnik (pri skupni ponudbi katerikoli partner).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ind w:left="1276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                Referenčni posel iz točke b, ki ga je izvedel neposredno sam, mora izkazati   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ponudnik (pri skupni ponudbi katerikoli partner) in tovrstna dela sam     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neposredno izvesti tudi pri predmetnem naročilu.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spacing w:before="60"/>
              <w:ind w:left="2268" w:hanging="992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                 Referenčni posel iz točke c in d, ki ga je izvedel neposredno sam, mora izkazati gospodarski subjekt, ki tovrstna dela prevzema v ponudbi oz. pri predmetnem naročilu. Prevzeta dela mora sam neposredno tudi izvesti.</w:t>
            </w:r>
          </w:p>
          <w:p w:rsidR="00786589" w:rsidRPr="002A7CE8" w:rsidRDefault="00786589" w:rsidP="00786589">
            <w:pPr>
              <w:pStyle w:val="BodyText2"/>
              <w:tabs>
                <w:tab w:val="left" w:pos="2268"/>
              </w:tabs>
              <w:spacing w:before="60"/>
              <w:ind w:left="2268" w:hanging="992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 xml:space="preserve">                  Za referenčni posel se šteje posel, ki je bil prevzet s strani naročnika v                  obdobju največ petih let pred rokom za oddajo ponudb.</w:t>
            </w:r>
          </w:p>
          <w:p w:rsidR="00786589" w:rsidRPr="002A7CE8" w:rsidRDefault="00786589" w:rsidP="00786589">
            <w:pPr>
              <w:pStyle w:val="BodyText2"/>
              <w:keepNext/>
              <w:tabs>
                <w:tab w:val="left" w:pos="2268"/>
              </w:tabs>
              <w:spacing w:before="120"/>
              <w:ind w:left="2268"/>
              <w:rPr>
                <w:rFonts w:ascii="Tahoma" w:hAnsi="Tahoma" w:cs="Tahoma"/>
                <w:i/>
                <w:sz w:val="18"/>
                <w:szCs w:val="18"/>
              </w:rPr>
            </w:pPr>
            <w:r w:rsidRPr="002A7CE8">
              <w:rPr>
                <w:rFonts w:ascii="Tahoma" w:hAnsi="Tahoma" w:cs="Tahoma"/>
                <w:i/>
                <w:sz w:val="18"/>
                <w:szCs w:val="18"/>
              </w:rPr>
              <w:t>Naročnik si pridržuje pravico, da navedbe preveri ter zahteva dokazila (na primer: pogodbo z investitorjem ali delodajalcem, končni obračun, potrdilo o izplačilu, izvajalsko zasedbo, ...) o uspešni izvedbi referenčnega posla. Neposredno sam pomeni, da ima gospodarski subjekt pri sebi zaposlen potreben kader za izvedbo in zagotovljene tehnične zmogljivosti.</w:t>
            </w:r>
          </w:p>
          <w:p w:rsidR="003E3015" w:rsidRPr="002A7CE8" w:rsidRDefault="003E301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3E3015" w:rsidRPr="002A7CE8" w:rsidRDefault="003E3015" w:rsidP="00786589">
            <w:pPr>
              <w:pStyle w:val="BodyText2"/>
              <w:keepNext/>
              <w:tabs>
                <w:tab w:val="left" w:pos="2268"/>
              </w:tabs>
              <w:spacing w:before="120"/>
              <w:ind w:left="22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56816" w:rsidRPr="002A7CE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</w:p>
    <w:p w:rsidR="004B34B5" w:rsidRPr="002A7CE8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</w:p>
    <w:p w:rsidR="004B34B5" w:rsidRPr="002A7CE8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  <w:r w:rsidRPr="002A7CE8">
        <w:rPr>
          <w:rFonts w:ascii="Tahoma" w:hAnsi="Tahoma" w:cs="Tahoma"/>
          <w:sz w:val="18"/>
          <w:szCs w:val="18"/>
        </w:rPr>
        <w:t>Spremembe</w:t>
      </w:r>
      <w:r w:rsidR="00556816" w:rsidRPr="002A7CE8">
        <w:rPr>
          <w:rFonts w:ascii="Tahoma" w:hAnsi="Tahoma" w:cs="Tahoma"/>
          <w:sz w:val="18"/>
          <w:szCs w:val="18"/>
        </w:rPr>
        <w:t xml:space="preserve"> </w:t>
      </w:r>
      <w:r w:rsidRPr="002A7CE8">
        <w:rPr>
          <w:rFonts w:ascii="Tahoma" w:hAnsi="Tahoma" w:cs="Tahoma"/>
          <w:sz w:val="18"/>
          <w:szCs w:val="18"/>
        </w:rPr>
        <w:t>so</w:t>
      </w:r>
      <w:r w:rsidR="00556816" w:rsidRPr="002A7CE8">
        <w:rPr>
          <w:rFonts w:ascii="Tahoma" w:hAnsi="Tahoma" w:cs="Tahoma"/>
          <w:sz w:val="18"/>
          <w:szCs w:val="18"/>
        </w:rPr>
        <w:t xml:space="preserve"> sestavni del razpisne dokumentacije in </w:t>
      </w:r>
      <w:r w:rsidRPr="002A7CE8">
        <w:rPr>
          <w:rFonts w:ascii="Tahoma" w:hAnsi="Tahoma" w:cs="Tahoma"/>
          <w:sz w:val="18"/>
          <w:szCs w:val="18"/>
        </w:rPr>
        <w:t>jih</w:t>
      </w:r>
      <w:r w:rsidR="00556816" w:rsidRPr="002A7CE8">
        <w:rPr>
          <w:rFonts w:ascii="Tahoma" w:hAnsi="Tahoma" w:cs="Tahoma"/>
          <w:sz w:val="18"/>
          <w:szCs w:val="18"/>
        </w:rPr>
        <w:t xml:space="preserve"> je potrebno upoštevati pri pripravi ponudbe.</w:t>
      </w:r>
    </w:p>
    <w:sectPr w:rsidR="004B34B5" w:rsidRPr="002A7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61" w:rsidRDefault="00D32661">
      <w:r>
        <w:separator/>
      </w:r>
    </w:p>
  </w:endnote>
  <w:endnote w:type="continuationSeparator" w:id="0">
    <w:p w:rsidR="00D32661" w:rsidRDefault="00D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C" w:rsidRDefault="00AC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A7CE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A7CE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AC23CC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C23CC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C23CC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61" w:rsidRDefault="00D32661">
      <w:r>
        <w:separator/>
      </w:r>
    </w:p>
  </w:footnote>
  <w:footnote w:type="continuationSeparator" w:id="0">
    <w:p w:rsidR="00D32661" w:rsidRDefault="00D3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C" w:rsidRDefault="00AC2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C" w:rsidRDefault="00AC2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C" w:rsidRDefault="00AC2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789" w:hanging="600"/>
      </w:pPr>
    </w:lvl>
    <w:lvl w:ilvl="2">
      <w:start w:val="3"/>
      <w:numFmt w:val="decimal"/>
      <w:lvlText w:val="%1.%2.%3"/>
      <w:lvlJc w:val="left"/>
      <w:pPr>
        <w:ind w:left="1098" w:hanging="720"/>
      </w:pPr>
    </w:lvl>
    <w:lvl w:ilvl="3">
      <w:start w:val="3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836" w:hanging="1080"/>
      </w:pPr>
    </w:lvl>
    <w:lvl w:ilvl="5">
      <w:start w:val="1"/>
      <w:numFmt w:val="decimal"/>
      <w:lvlText w:val="%1.%2.%3.%4.%5.%6"/>
      <w:lvlJc w:val="left"/>
      <w:pPr>
        <w:ind w:left="2025" w:hanging="1080"/>
      </w:pPr>
    </w:lvl>
    <w:lvl w:ilvl="6">
      <w:start w:val="1"/>
      <w:numFmt w:val="decimal"/>
      <w:lvlText w:val="%1.%2.%3.%4.%5.%6.%7"/>
      <w:lvlJc w:val="left"/>
      <w:pPr>
        <w:ind w:left="2574" w:hanging="1440"/>
      </w:pPr>
    </w:lvl>
    <w:lvl w:ilvl="7">
      <w:start w:val="1"/>
      <w:numFmt w:val="decimal"/>
      <w:lvlText w:val="%1.%2.%3.%4.%5.%6.%7.%8"/>
      <w:lvlJc w:val="left"/>
      <w:pPr>
        <w:ind w:left="2763" w:hanging="1440"/>
      </w:pPr>
    </w:lvl>
    <w:lvl w:ilvl="8">
      <w:start w:val="1"/>
      <w:numFmt w:val="decimal"/>
      <w:lvlText w:val="%1.%2.%3.%4.%5.%6.%7.%8.%9"/>
      <w:lvlJc w:val="left"/>
      <w:pPr>
        <w:ind w:left="3312" w:hanging="1800"/>
      </w:pPr>
    </w:lvl>
  </w:abstractNum>
  <w:abstractNum w:abstractNumId="16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6B0043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CC"/>
    <w:rsid w:val="000646A9"/>
    <w:rsid w:val="001836BB"/>
    <w:rsid w:val="002507C2"/>
    <w:rsid w:val="002A7CE8"/>
    <w:rsid w:val="003133A6"/>
    <w:rsid w:val="00315AF3"/>
    <w:rsid w:val="003E3015"/>
    <w:rsid w:val="00422963"/>
    <w:rsid w:val="00424A5A"/>
    <w:rsid w:val="00433AAE"/>
    <w:rsid w:val="004B34B5"/>
    <w:rsid w:val="00556816"/>
    <w:rsid w:val="005B3896"/>
    <w:rsid w:val="00637BE6"/>
    <w:rsid w:val="00676BC3"/>
    <w:rsid w:val="00693961"/>
    <w:rsid w:val="00786589"/>
    <w:rsid w:val="00886791"/>
    <w:rsid w:val="008F314A"/>
    <w:rsid w:val="00A05C73"/>
    <w:rsid w:val="00A17575"/>
    <w:rsid w:val="00A6626B"/>
    <w:rsid w:val="00AB6E6C"/>
    <w:rsid w:val="00AC23CC"/>
    <w:rsid w:val="00B05C73"/>
    <w:rsid w:val="00BA38BA"/>
    <w:rsid w:val="00D32661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14C2F6"/>
  <w15:chartTrackingRefBased/>
  <w15:docId w15:val="{9A01BA2C-4C16-4701-80C7-DAD24C17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2</Pages>
  <Words>811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 Brodt</cp:lastModifiedBy>
  <cp:revision>4</cp:revision>
  <cp:lastPrinted>2020-12-23T15:22:00Z</cp:lastPrinted>
  <dcterms:created xsi:type="dcterms:W3CDTF">2020-12-23T10:44:00Z</dcterms:created>
  <dcterms:modified xsi:type="dcterms:W3CDTF">2020-12-23T15:22:00Z</dcterms:modified>
</cp:coreProperties>
</file>